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5B" w:rsidRPr="000D4367" w:rsidRDefault="00347F5B" w:rsidP="00347F5B">
      <w:pPr>
        <w:jc w:val="center"/>
        <w:outlineLvl w:val="0"/>
        <w:rPr>
          <w:b/>
        </w:rPr>
      </w:pPr>
      <w:r w:rsidRPr="000D4367">
        <w:rPr>
          <w:b/>
        </w:rPr>
        <w:t>Master of Science in Nurs</w:t>
      </w:r>
      <w:r>
        <w:rPr>
          <w:b/>
        </w:rPr>
        <w:t>ing – Family Nurse Practitioner</w:t>
      </w:r>
    </w:p>
    <w:p w:rsidR="00347F5B" w:rsidRDefault="00347F5B" w:rsidP="000D4367">
      <w:pPr>
        <w:jc w:val="center"/>
        <w:outlineLvl w:val="0"/>
        <w:rPr>
          <w:b/>
        </w:rPr>
      </w:pPr>
    </w:p>
    <w:p w:rsidR="00347F5B" w:rsidRDefault="00347F5B" w:rsidP="000D4367">
      <w:pPr>
        <w:jc w:val="center"/>
        <w:outlineLvl w:val="0"/>
        <w:rPr>
          <w:b/>
        </w:rPr>
      </w:pPr>
      <w:r>
        <w:rPr>
          <w:b/>
        </w:rPr>
        <w:t>College Council Notes</w:t>
      </w:r>
    </w:p>
    <w:p w:rsidR="00347F5B" w:rsidRDefault="00347F5B" w:rsidP="000D4367">
      <w:pPr>
        <w:jc w:val="center"/>
        <w:outlineLvl w:val="0"/>
        <w:rPr>
          <w:b/>
        </w:rPr>
      </w:pPr>
    </w:p>
    <w:p w:rsidR="00347F5B" w:rsidRDefault="00347F5B" w:rsidP="00822D62">
      <w:pPr>
        <w:pStyle w:val="ListParagraph"/>
        <w:numPr>
          <w:ilvl w:val="0"/>
          <w:numId w:val="1"/>
        </w:numPr>
        <w:tabs>
          <w:tab w:val="left" w:pos="360"/>
        </w:tabs>
        <w:ind w:left="360"/>
        <w:outlineLvl w:val="0"/>
      </w:pPr>
      <w:r w:rsidRPr="00347F5B">
        <w:t xml:space="preserve">The School of Nursing presented the proposal for </w:t>
      </w:r>
      <w:r w:rsidR="00822D62">
        <w:t>a</w:t>
      </w:r>
      <w:r w:rsidRPr="00347F5B">
        <w:t xml:space="preserve"> new masters degree </w:t>
      </w:r>
      <w:r w:rsidR="00822D62">
        <w:t xml:space="preserve">program </w:t>
      </w:r>
      <w:r w:rsidR="00AA3CAF">
        <w:t xml:space="preserve">MSN-FNP </w:t>
      </w:r>
      <w:r w:rsidRPr="00347F5B">
        <w:t xml:space="preserve">on October 14, 2011.  </w:t>
      </w:r>
    </w:p>
    <w:p w:rsidR="00347F5B" w:rsidRDefault="00347F5B" w:rsidP="00347F5B">
      <w:pPr>
        <w:pStyle w:val="ListParagraph"/>
        <w:numPr>
          <w:ilvl w:val="0"/>
          <w:numId w:val="1"/>
        </w:numPr>
        <w:ind w:left="360"/>
        <w:outlineLvl w:val="0"/>
      </w:pPr>
      <w:r>
        <w:t xml:space="preserve">Electronic copies of the program proposal and course proposals were made available </w:t>
      </w:r>
      <w:r w:rsidR="00C4217D">
        <w:t>to the committee prior to this meeting at the following site</w:t>
      </w:r>
      <w:r>
        <w:t xml:space="preserve">: </w:t>
      </w:r>
      <w:hyperlink r:id="rId5" w:history="1">
        <w:r w:rsidRPr="00036D5A">
          <w:rPr>
            <w:rStyle w:val="Hyperlink"/>
          </w:rPr>
          <w:t>http://cosm.sfasu.edu/index.aspx?URL=Nursing</w:t>
        </w:r>
      </w:hyperlink>
      <w:r>
        <w:t xml:space="preserve"> </w:t>
      </w:r>
    </w:p>
    <w:p w:rsidR="00347F5B" w:rsidRDefault="00347F5B" w:rsidP="00347F5B">
      <w:pPr>
        <w:pStyle w:val="ListParagraph"/>
        <w:numPr>
          <w:ilvl w:val="0"/>
          <w:numId w:val="1"/>
        </w:numPr>
        <w:ind w:left="360"/>
        <w:outlineLvl w:val="0"/>
      </w:pPr>
      <w:r>
        <w:t>The THECB “Standards for Programs” document was also made available on the site above.  This was helpful in evaluating the proposal.</w:t>
      </w:r>
    </w:p>
    <w:p w:rsidR="00347F5B" w:rsidRDefault="00347F5B" w:rsidP="00347F5B">
      <w:pPr>
        <w:pStyle w:val="ListParagraph"/>
        <w:numPr>
          <w:ilvl w:val="0"/>
          <w:numId w:val="1"/>
        </w:numPr>
        <w:ind w:left="360"/>
        <w:outlineLvl w:val="0"/>
      </w:pPr>
      <w:r w:rsidRPr="00347F5B">
        <w:t xml:space="preserve">The full </w:t>
      </w:r>
      <w:r>
        <w:t xml:space="preserve">printed </w:t>
      </w:r>
      <w:r w:rsidRPr="00347F5B">
        <w:t xml:space="preserve">documentation </w:t>
      </w:r>
      <w:r>
        <w:t>was made</w:t>
      </w:r>
      <w:r w:rsidRPr="00347F5B">
        <w:t xml:space="preserve"> available in room 100 of</w:t>
      </w:r>
      <w:r>
        <w:t xml:space="preserve"> the science building if </w:t>
      </w:r>
      <w:r w:rsidR="00C4217D">
        <w:t xml:space="preserve">it was </w:t>
      </w:r>
      <w:r>
        <w:t>needed by the committee members.</w:t>
      </w:r>
      <w:r w:rsidRPr="00347F5B">
        <w:t xml:space="preserve">  </w:t>
      </w:r>
    </w:p>
    <w:p w:rsidR="00347F5B" w:rsidRDefault="00347F5B" w:rsidP="00347F5B">
      <w:pPr>
        <w:pStyle w:val="ListParagraph"/>
        <w:numPr>
          <w:ilvl w:val="0"/>
          <w:numId w:val="1"/>
        </w:numPr>
        <w:ind w:left="360"/>
        <w:outlineLvl w:val="0"/>
      </w:pPr>
      <w:r>
        <w:t>A modified pre-requisite map is shown on page 2 of this document.</w:t>
      </w:r>
    </w:p>
    <w:p w:rsidR="00347F5B" w:rsidRPr="00347F5B" w:rsidRDefault="00347F5B" w:rsidP="00347F5B">
      <w:pPr>
        <w:pStyle w:val="ListParagraph"/>
        <w:numPr>
          <w:ilvl w:val="0"/>
          <w:numId w:val="1"/>
        </w:numPr>
        <w:ind w:left="360"/>
        <w:outlineLvl w:val="0"/>
      </w:pPr>
      <w:r>
        <w:t xml:space="preserve">The College Council provided feedback on the proposal using this survey page:  </w:t>
      </w:r>
      <w:hyperlink r:id="rId6" w:history="1">
        <w:r w:rsidRPr="00036D5A">
          <w:rPr>
            <w:rStyle w:val="Hyperlink"/>
          </w:rPr>
          <w:t>http://sfasu.qualtrics.com/SE/?SID=SV_787iYWk83jT9k4k</w:t>
        </w:r>
      </w:hyperlink>
      <w:r>
        <w:t xml:space="preserve"> </w:t>
      </w:r>
      <w:r w:rsidRPr="00347F5B">
        <w:t xml:space="preserve"> </w:t>
      </w:r>
    </w:p>
    <w:p w:rsidR="003D7179" w:rsidRDefault="003D7179" w:rsidP="003D7179">
      <w:pPr>
        <w:outlineLvl w:val="0"/>
      </w:pPr>
    </w:p>
    <w:p w:rsidR="00347F5B" w:rsidRDefault="00347F5B" w:rsidP="003D7179">
      <w:pPr>
        <w:outlineLvl w:val="0"/>
      </w:pPr>
      <w:r>
        <w:t xml:space="preserve">The feedback offered by the committee from this </w:t>
      </w:r>
      <w:r w:rsidR="00C4217D">
        <w:t>online survey is given below:</w:t>
      </w:r>
    </w:p>
    <w:p w:rsidR="00C4217D" w:rsidRDefault="00C25C23" w:rsidP="00C4217D">
      <w:pPr>
        <w:outlineLvl w:val="0"/>
      </w:pPr>
      <w:r>
        <w:rPr>
          <w:noProof/>
        </w:rPr>
        <w:pict>
          <v:rect id="_x0000_s1026" style="position:absolute;margin-left:-7.5pt;margin-top:11.95pt;width:482.25pt;height:335.25pt;z-index:251658240" filled="f" fillcolor="white [3212]"/>
        </w:pict>
      </w:r>
    </w:p>
    <w:p w:rsidR="00D96DC6" w:rsidRPr="00D96DC6" w:rsidRDefault="00D96DC6" w:rsidP="00C4217D">
      <w:pPr>
        <w:outlineLvl w:val="0"/>
        <w:rPr>
          <w:i/>
          <w:u w:val="single"/>
        </w:rPr>
      </w:pPr>
      <w:r w:rsidRPr="00D96DC6">
        <w:rPr>
          <w:i/>
          <w:u w:val="single"/>
        </w:rPr>
        <w:t>Do you have any feedback for the School of Nursing that may help their proposal?</w:t>
      </w:r>
    </w:p>
    <w:p w:rsidR="00D96DC6" w:rsidRPr="00D96DC6" w:rsidRDefault="00C4217D" w:rsidP="00D96DC6">
      <w:pPr>
        <w:pStyle w:val="ListParagraph"/>
        <w:numPr>
          <w:ilvl w:val="0"/>
          <w:numId w:val="2"/>
        </w:numPr>
        <w:outlineLvl w:val="0"/>
        <w:rPr>
          <w:i/>
        </w:rPr>
      </w:pPr>
      <w:r w:rsidRPr="00D96DC6">
        <w:rPr>
          <w:i/>
        </w:rPr>
        <w:t xml:space="preserve">I thought the presentation was very helpful and allowed many questions to be answered directly. </w:t>
      </w:r>
    </w:p>
    <w:p w:rsidR="00C4217D" w:rsidRPr="00D96DC6" w:rsidRDefault="00C4217D" w:rsidP="00D96DC6">
      <w:pPr>
        <w:pStyle w:val="ListParagraph"/>
        <w:numPr>
          <w:ilvl w:val="0"/>
          <w:numId w:val="2"/>
        </w:numPr>
        <w:outlineLvl w:val="0"/>
        <w:rPr>
          <w:i/>
        </w:rPr>
      </w:pPr>
      <w:r w:rsidRPr="00D96DC6">
        <w:rPr>
          <w:i/>
        </w:rPr>
        <w:t>I have two concerns, one of which has been addressed and one of which is systemic. The faculty number required, I believe, has been addressed. But how do you train at the Master's level</w:t>
      </w:r>
      <w:r w:rsidR="003D7179">
        <w:rPr>
          <w:i/>
        </w:rPr>
        <w:t xml:space="preserve"> online</w:t>
      </w:r>
      <w:r w:rsidRPr="00D96DC6">
        <w:rPr>
          <w:i/>
        </w:rPr>
        <w:t xml:space="preserve">, in a field that </w:t>
      </w:r>
      <w:r w:rsidR="003D7179">
        <w:rPr>
          <w:i/>
        </w:rPr>
        <w:t>is exclusively hands-on</w:t>
      </w:r>
      <w:r w:rsidRPr="00D96DC6">
        <w:rPr>
          <w:i/>
        </w:rPr>
        <w:t xml:space="preserve">? </w:t>
      </w:r>
    </w:p>
    <w:p w:rsidR="00C4217D" w:rsidRPr="00D96DC6" w:rsidRDefault="00C4217D" w:rsidP="00D96DC6">
      <w:pPr>
        <w:pStyle w:val="ListParagraph"/>
        <w:numPr>
          <w:ilvl w:val="0"/>
          <w:numId w:val="2"/>
        </w:numPr>
        <w:outlineLvl w:val="0"/>
        <w:rPr>
          <w:i/>
        </w:rPr>
      </w:pPr>
      <w:r w:rsidRPr="00D96DC6">
        <w:rPr>
          <w:i/>
        </w:rPr>
        <w:t xml:space="preserve">The development of the online version of MTH 520 is currently in progress by Dr. Bob Henderson, and will likely be finished this semester (Fall 2011). Other than that, the proposal seems to be very thorough and clearly aligned with the Standards for Programs document from the THECB. </w:t>
      </w:r>
    </w:p>
    <w:p w:rsidR="00C4217D" w:rsidRDefault="00C4217D" w:rsidP="00D96DC6">
      <w:pPr>
        <w:pStyle w:val="ListParagraph"/>
        <w:numPr>
          <w:ilvl w:val="0"/>
          <w:numId w:val="2"/>
        </w:numPr>
        <w:outlineLvl w:val="0"/>
        <w:rPr>
          <w:i/>
        </w:rPr>
      </w:pPr>
      <w:r w:rsidRPr="00D96DC6">
        <w:rPr>
          <w:i/>
        </w:rPr>
        <w:t xml:space="preserve">I'm curious if they have any idea whether they would begin the transition to the DNP </w:t>
      </w:r>
      <w:r w:rsidR="00AA3CAF">
        <w:rPr>
          <w:i/>
        </w:rPr>
        <w:t xml:space="preserve">(doctorate) </w:t>
      </w:r>
      <w:r w:rsidRPr="00D96DC6">
        <w:rPr>
          <w:i/>
        </w:rPr>
        <w:t>program before the sixth year, when they project that the program would begin to generate funding.</w:t>
      </w:r>
    </w:p>
    <w:p w:rsidR="00D96DC6" w:rsidRDefault="00D96DC6" w:rsidP="00D96DC6">
      <w:pPr>
        <w:pStyle w:val="ListParagraph"/>
        <w:numPr>
          <w:ilvl w:val="0"/>
          <w:numId w:val="2"/>
        </w:numPr>
        <w:outlineLvl w:val="0"/>
        <w:rPr>
          <w:i/>
        </w:rPr>
      </w:pPr>
      <w:r>
        <w:rPr>
          <w:i/>
        </w:rPr>
        <w:t>The STA520 should be taught by one of the mathematics professors.   I think that the presenters said that that would be the case at the October 14, 2011 meeting.</w:t>
      </w:r>
    </w:p>
    <w:p w:rsidR="00D96DC6" w:rsidRDefault="00D96DC6" w:rsidP="00D96DC6">
      <w:pPr>
        <w:pStyle w:val="ListParagraph"/>
        <w:numPr>
          <w:ilvl w:val="0"/>
          <w:numId w:val="2"/>
        </w:numPr>
        <w:outlineLvl w:val="0"/>
        <w:rPr>
          <w:i/>
        </w:rPr>
      </w:pPr>
      <w:r>
        <w:rPr>
          <w:i/>
        </w:rPr>
        <w:t>The NUR564 course titled “Spanish for Advanced Health Care Professionals” should probably be taught by a faculty member from the Department of Modern Languages.  The prefix of the course may need to be change</w:t>
      </w:r>
      <w:r w:rsidR="003D7179">
        <w:rPr>
          <w:i/>
        </w:rPr>
        <w:t>d</w:t>
      </w:r>
      <w:r>
        <w:rPr>
          <w:i/>
        </w:rPr>
        <w:t xml:space="preserve"> from NUR to SPA.  At the very least a faculty member from the Department of Modern Languages should be involved in the development of the online course – so that our college is </w:t>
      </w:r>
      <w:r w:rsidR="00A6610D">
        <w:rPr>
          <w:i/>
        </w:rPr>
        <w:t>not teaching material that another college lays claim to.</w:t>
      </w:r>
      <w:r>
        <w:rPr>
          <w:i/>
        </w:rPr>
        <w:t xml:space="preserve"> </w:t>
      </w:r>
    </w:p>
    <w:p w:rsidR="00C846B6" w:rsidRDefault="00C846B6" w:rsidP="00D96DC6">
      <w:pPr>
        <w:pStyle w:val="ListParagraph"/>
        <w:numPr>
          <w:ilvl w:val="0"/>
          <w:numId w:val="2"/>
        </w:numPr>
        <w:outlineLvl w:val="0"/>
        <w:rPr>
          <w:i/>
        </w:rPr>
      </w:pPr>
      <w:r>
        <w:rPr>
          <w:i/>
        </w:rPr>
        <w:t>Make sure that the complete syllabi are attached to the course proposal when they are delivered to the university level committee.</w:t>
      </w:r>
    </w:p>
    <w:p w:rsidR="00C846B6" w:rsidRDefault="00C846B6" w:rsidP="00C846B6">
      <w:pPr>
        <w:pStyle w:val="ListParagraph"/>
        <w:outlineLvl w:val="0"/>
        <w:rPr>
          <w:i/>
        </w:rPr>
      </w:pPr>
    </w:p>
    <w:p w:rsidR="00D96DC6" w:rsidRPr="00D96DC6" w:rsidRDefault="00D96DC6" w:rsidP="00D96DC6">
      <w:pPr>
        <w:pStyle w:val="ListParagraph"/>
        <w:outlineLvl w:val="0"/>
        <w:rPr>
          <w:i/>
        </w:rPr>
      </w:pPr>
    </w:p>
    <w:p w:rsidR="00347F5B" w:rsidRDefault="00347F5B" w:rsidP="00347F5B">
      <w:pPr>
        <w:outlineLvl w:val="0"/>
      </w:pPr>
    </w:p>
    <w:p w:rsidR="00347F5B" w:rsidRDefault="00347F5B">
      <w:pPr>
        <w:spacing w:after="200" w:line="276" w:lineRule="auto"/>
        <w:rPr>
          <w:b/>
        </w:rPr>
      </w:pPr>
      <w:r>
        <w:rPr>
          <w:b/>
        </w:rPr>
        <w:br w:type="page"/>
      </w:r>
    </w:p>
    <w:p w:rsidR="000D4367" w:rsidRDefault="00BC5884" w:rsidP="000D4367">
      <w:pPr>
        <w:jc w:val="center"/>
        <w:outlineLvl w:val="0"/>
        <w:rPr>
          <w:b/>
        </w:rPr>
      </w:pPr>
      <w:r>
        <w:rPr>
          <w:b/>
        </w:rPr>
        <w:lastRenderedPageBreak/>
        <w:t>Course Pre-requisites and Co-requisites</w:t>
      </w:r>
    </w:p>
    <w:p w:rsidR="00BC5884" w:rsidRPr="000D4367" w:rsidRDefault="00BC5884" w:rsidP="000D4367">
      <w:pPr>
        <w:jc w:val="center"/>
        <w:outlineLvl w:val="0"/>
        <w:rPr>
          <w:b/>
        </w:rPr>
      </w:pPr>
      <w:r w:rsidRPr="000D4367">
        <w:rPr>
          <w:b/>
        </w:rPr>
        <w:t>Master of Science in Nurs</w:t>
      </w:r>
      <w:r w:rsidR="000D4367">
        <w:rPr>
          <w:b/>
        </w:rPr>
        <w:t>ing – Family Nurse Practitioner</w:t>
      </w:r>
    </w:p>
    <w:p w:rsidR="00BC5884" w:rsidRPr="000D4367" w:rsidRDefault="00BC5884" w:rsidP="00BC588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3121"/>
        <w:gridCol w:w="2129"/>
        <w:gridCol w:w="1710"/>
        <w:gridCol w:w="1458"/>
      </w:tblGrid>
      <w:tr w:rsidR="00BC5884" w:rsidRPr="00672487" w:rsidTr="00726632">
        <w:trPr>
          <w:trHeight w:val="278"/>
        </w:trPr>
        <w:tc>
          <w:tcPr>
            <w:tcW w:w="1158" w:type="dxa"/>
            <w:shd w:val="clear" w:color="auto" w:fill="C0C0C0"/>
          </w:tcPr>
          <w:p w:rsidR="00BC5884" w:rsidRPr="00672487" w:rsidRDefault="00BC5884" w:rsidP="00BC5884">
            <w:pPr>
              <w:jc w:val="center"/>
              <w:rPr>
                <w:rFonts w:cs="Arial"/>
                <w:sz w:val="20"/>
                <w:szCs w:val="20"/>
              </w:rPr>
            </w:pPr>
            <w:r w:rsidRPr="00672487">
              <w:rPr>
                <w:rFonts w:cs="Arial"/>
                <w:sz w:val="20"/>
                <w:szCs w:val="20"/>
              </w:rPr>
              <w:t>Course Prefix</w:t>
            </w:r>
          </w:p>
        </w:tc>
        <w:tc>
          <w:tcPr>
            <w:tcW w:w="3121" w:type="dxa"/>
            <w:shd w:val="clear" w:color="auto" w:fill="C0C0C0"/>
          </w:tcPr>
          <w:p w:rsidR="00BC5884" w:rsidRPr="00672487" w:rsidRDefault="00BC5884" w:rsidP="00BC5884">
            <w:pPr>
              <w:jc w:val="center"/>
              <w:rPr>
                <w:rFonts w:cs="Arial"/>
                <w:sz w:val="20"/>
                <w:szCs w:val="20"/>
              </w:rPr>
            </w:pPr>
            <w:r w:rsidRPr="00672487">
              <w:rPr>
                <w:rFonts w:cs="Arial"/>
                <w:sz w:val="20"/>
                <w:szCs w:val="20"/>
              </w:rPr>
              <w:t>Course Title</w:t>
            </w:r>
          </w:p>
        </w:tc>
        <w:tc>
          <w:tcPr>
            <w:tcW w:w="2129" w:type="dxa"/>
            <w:shd w:val="clear" w:color="auto" w:fill="C0C0C0"/>
          </w:tcPr>
          <w:p w:rsidR="00BC5884" w:rsidRPr="00672487" w:rsidRDefault="00BC5884" w:rsidP="00BC5884">
            <w:pPr>
              <w:jc w:val="center"/>
              <w:rPr>
                <w:rFonts w:cs="Arial"/>
                <w:sz w:val="20"/>
                <w:szCs w:val="20"/>
              </w:rPr>
            </w:pPr>
            <w:r>
              <w:rPr>
                <w:rFonts w:cs="Arial"/>
                <w:sz w:val="20"/>
                <w:szCs w:val="20"/>
              </w:rPr>
              <w:t>Pre-Requisites</w:t>
            </w:r>
          </w:p>
        </w:tc>
        <w:tc>
          <w:tcPr>
            <w:tcW w:w="1710" w:type="dxa"/>
            <w:shd w:val="clear" w:color="auto" w:fill="C0C0C0"/>
          </w:tcPr>
          <w:p w:rsidR="00BC5884" w:rsidRPr="00672487" w:rsidRDefault="00BC5884" w:rsidP="00BC5884">
            <w:pPr>
              <w:jc w:val="center"/>
              <w:rPr>
                <w:rFonts w:cs="Arial"/>
                <w:sz w:val="20"/>
                <w:szCs w:val="20"/>
              </w:rPr>
            </w:pPr>
            <w:r>
              <w:rPr>
                <w:rFonts w:cs="Arial"/>
                <w:sz w:val="20"/>
                <w:szCs w:val="20"/>
              </w:rPr>
              <w:t>Co-Requisites</w:t>
            </w:r>
          </w:p>
        </w:tc>
        <w:tc>
          <w:tcPr>
            <w:tcW w:w="1458" w:type="dxa"/>
            <w:shd w:val="clear" w:color="auto" w:fill="C0C0C0"/>
          </w:tcPr>
          <w:p w:rsidR="00BC5884" w:rsidRPr="00672487" w:rsidRDefault="00BC5884" w:rsidP="00BC5884">
            <w:pPr>
              <w:jc w:val="center"/>
              <w:rPr>
                <w:rFonts w:cs="Arial"/>
                <w:sz w:val="20"/>
                <w:szCs w:val="20"/>
              </w:rPr>
            </w:pPr>
            <w:r w:rsidRPr="00672487">
              <w:rPr>
                <w:rFonts w:cs="Arial"/>
                <w:sz w:val="20"/>
                <w:szCs w:val="20"/>
              </w:rPr>
              <w:t>Semester 1</w:t>
            </w:r>
            <w:r w:rsidRPr="00672487">
              <w:rPr>
                <w:rFonts w:cs="Arial"/>
                <w:sz w:val="20"/>
                <w:szCs w:val="20"/>
                <w:vertAlign w:val="superscript"/>
              </w:rPr>
              <w:t>st</w:t>
            </w:r>
            <w:r w:rsidRPr="00672487">
              <w:rPr>
                <w:rFonts w:cs="Arial"/>
                <w:sz w:val="20"/>
                <w:szCs w:val="20"/>
              </w:rPr>
              <w:t xml:space="preserve"> Offered</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501</w:t>
            </w:r>
          </w:p>
        </w:tc>
        <w:tc>
          <w:tcPr>
            <w:tcW w:w="3121" w:type="dxa"/>
            <w:vAlign w:val="bottom"/>
          </w:tcPr>
          <w:p w:rsidR="00BC5884" w:rsidRPr="00672487" w:rsidRDefault="00BC5884" w:rsidP="00BC5884">
            <w:pPr>
              <w:rPr>
                <w:rFonts w:cs="Arial"/>
              </w:rPr>
            </w:pPr>
            <w:r>
              <w:rPr>
                <w:rFonts w:cs="Arial"/>
              </w:rPr>
              <w:t>Nursing Theory for the Advanced Practice Role</w:t>
            </w:r>
          </w:p>
        </w:tc>
        <w:tc>
          <w:tcPr>
            <w:tcW w:w="2129" w:type="dxa"/>
          </w:tcPr>
          <w:p w:rsidR="00BC5884" w:rsidRDefault="00BC5884" w:rsidP="00BC5884">
            <w:pPr>
              <w:rPr>
                <w:rFonts w:cs="Arial"/>
              </w:rPr>
            </w:pPr>
            <w:r>
              <w:rPr>
                <w:rFonts w:cs="Arial"/>
              </w:rP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Fall 2012</w:t>
            </w:r>
          </w:p>
        </w:tc>
      </w:tr>
      <w:tr w:rsidR="00BC5884" w:rsidRPr="00672487" w:rsidTr="00726632">
        <w:trPr>
          <w:trHeight w:val="290"/>
        </w:trPr>
        <w:tc>
          <w:tcPr>
            <w:tcW w:w="1158" w:type="dxa"/>
            <w:vAlign w:val="bottom"/>
          </w:tcPr>
          <w:p w:rsidR="00BC5884" w:rsidRPr="00672487" w:rsidRDefault="00BC5884" w:rsidP="00BC5884">
            <w:pPr>
              <w:rPr>
                <w:rFonts w:cs="Arial"/>
              </w:rPr>
            </w:pPr>
            <w:r>
              <w:rPr>
                <w:rFonts w:cs="Arial"/>
              </w:rPr>
              <w:t>NUR 502</w:t>
            </w:r>
          </w:p>
        </w:tc>
        <w:tc>
          <w:tcPr>
            <w:tcW w:w="3121" w:type="dxa"/>
            <w:vAlign w:val="bottom"/>
          </w:tcPr>
          <w:p w:rsidR="00BC5884" w:rsidRDefault="00BC5884" w:rsidP="00BC5884">
            <w:pPr>
              <w:rPr>
                <w:rFonts w:cs="Arial"/>
              </w:rPr>
            </w:pPr>
          </w:p>
          <w:p w:rsidR="00BC5884" w:rsidRPr="00672487" w:rsidRDefault="00BC5884" w:rsidP="00BC5884">
            <w:pPr>
              <w:rPr>
                <w:rFonts w:cs="Arial"/>
              </w:rPr>
            </w:pPr>
            <w:r>
              <w:rPr>
                <w:rFonts w:cs="Arial"/>
              </w:rPr>
              <w:t>The Politics of Health Care</w:t>
            </w:r>
          </w:p>
        </w:tc>
        <w:tc>
          <w:tcPr>
            <w:tcW w:w="2129" w:type="dxa"/>
          </w:tcPr>
          <w:p w:rsidR="00BC5884" w:rsidRDefault="00BC5884" w:rsidP="00BC5884">
            <w:pPr>
              <w:rPr>
                <w:rFonts w:cs="Arial"/>
              </w:rPr>
            </w:pPr>
            <w:r>
              <w:rPr>
                <w:rFonts w:cs="Arial"/>
              </w:rP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Fall 2012</w:t>
            </w:r>
          </w:p>
        </w:tc>
      </w:tr>
      <w:tr w:rsidR="00BC5884" w:rsidRPr="00672487" w:rsidTr="00726632">
        <w:trPr>
          <w:trHeight w:val="275"/>
        </w:trPr>
        <w:tc>
          <w:tcPr>
            <w:tcW w:w="1158" w:type="dxa"/>
            <w:vAlign w:val="bottom"/>
          </w:tcPr>
          <w:p w:rsidR="00BC5884" w:rsidRDefault="00BC5884" w:rsidP="00BC5884">
            <w:pPr>
              <w:rPr>
                <w:rFonts w:cs="Arial"/>
              </w:rPr>
            </w:pPr>
            <w:r>
              <w:rPr>
                <w:rFonts w:cs="Arial"/>
              </w:rPr>
              <w:t>STA 520</w:t>
            </w:r>
          </w:p>
        </w:tc>
        <w:tc>
          <w:tcPr>
            <w:tcW w:w="3121" w:type="dxa"/>
            <w:vAlign w:val="bottom"/>
          </w:tcPr>
          <w:p w:rsidR="00BC5884" w:rsidRPr="00672487" w:rsidRDefault="00BC5884" w:rsidP="00BC5884">
            <w:pPr>
              <w:rPr>
                <w:rFonts w:cs="Arial"/>
              </w:rPr>
            </w:pPr>
            <w:r>
              <w:rPr>
                <w:rFonts w:cs="Arial"/>
              </w:rPr>
              <w:t>Statistical Analysis I</w:t>
            </w:r>
          </w:p>
        </w:tc>
        <w:tc>
          <w:tcPr>
            <w:tcW w:w="2129" w:type="dxa"/>
          </w:tcPr>
          <w:p w:rsidR="00BC5884" w:rsidRDefault="00BC5884" w:rsidP="00BC5884">
            <w:pPr>
              <w:rPr>
                <w:rFonts w:cs="Arial"/>
              </w:rPr>
            </w:pPr>
            <w:r>
              <w:rPr>
                <w:rFonts w:cs="Arial"/>
              </w:rP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Spring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511</w:t>
            </w:r>
          </w:p>
        </w:tc>
        <w:tc>
          <w:tcPr>
            <w:tcW w:w="3121" w:type="dxa"/>
            <w:vAlign w:val="bottom"/>
          </w:tcPr>
          <w:p w:rsidR="00BC5884" w:rsidRPr="00672487" w:rsidRDefault="00BC5884" w:rsidP="00BC5884">
            <w:pPr>
              <w:rPr>
                <w:rFonts w:cs="Arial"/>
              </w:rPr>
            </w:pPr>
            <w:r>
              <w:rPr>
                <w:rFonts w:cs="Arial"/>
              </w:rPr>
              <w:t>Contemporary Health Care Ethics</w:t>
            </w:r>
          </w:p>
        </w:tc>
        <w:tc>
          <w:tcPr>
            <w:tcW w:w="2129" w:type="dxa"/>
          </w:tcPr>
          <w:p w:rsidR="00BC5884" w:rsidRDefault="00BC5884" w:rsidP="00BC5884">
            <w:pPr>
              <w:rPr>
                <w:rFonts w:cs="Arial"/>
              </w:rPr>
            </w:pPr>
            <w:r>
              <w:rPr>
                <w:rFonts w:cs="Arial"/>
              </w:rP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Spring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521</w:t>
            </w:r>
          </w:p>
        </w:tc>
        <w:tc>
          <w:tcPr>
            <w:tcW w:w="3121" w:type="dxa"/>
            <w:vAlign w:val="bottom"/>
          </w:tcPr>
          <w:p w:rsidR="00BC5884" w:rsidRPr="00672487" w:rsidRDefault="00BC5884" w:rsidP="00BC5884">
            <w:pPr>
              <w:rPr>
                <w:rFonts w:cs="Arial"/>
              </w:rPr>
            </w:pPr>
            <w:r>
              <w:rPr>
                <w:rFonts w:cs="Arial"/>
              </w:rPr>
              <w:t>Advanced Practice Roles</w:t>
            </w:r>
          </w:p>
        </w:tc>
        <w:tc>
          <w:tcPr>
            <w:tcW w:w="2129" w:type="dxa"/>
          </w:tcPr>
          <w:p w:rsidR="00BC5884" w:rsidRDefault="00BC5884" w:rsidP="00BC5884">
            <w:pPr>
              <w:rPr>
                <w:rFonts w:cs="Arial"/>
              </w:rPr>
            </w:pPr>
            <w:r>
              <w:rPr>
                <w:rFonts w:cs="Arial"/>
              </w:rPr>
              <w:t>Admission to SON Graduate Program</w:t>
            </w:r>
          </w:p>
        </w:tc>
        <w:tc>
          <w:tcPr>
            <w:tcW w:w="1710" w:type="dxa"/>
          </w:tcPr>
          <w:p w:rsidR="00BC5884" w:rsidRDefault="00BC5884" w:rsidP="007B7FE9">
            <w:pPr>
              <w:rPr>
                <w:rFonts w:cs="Arial"/>
              </w:rPr>
            </w:pPr>
          </w:p>
        </w:tc>
        <w:tc>
          <w:tcPr>
            <w:tcW w:w="1458" w:type="dxa"/>
            <w:vAlign w:val="bottom"/>
          </w:tcPr>
          <w:p w:rsidR="00BC5884" w:rsidRPr="00672487" w:rsidRDefault="00BC5884" w:rsidP="00BC5884">
            <w:pPr>
              <w:rPr>
                <w:rFonts w:cs="Arial"/>
              </w:rPr>
            </w:pPr>
            <w:r>
              <w:rPr>
                <w:rFonts w:cs="Arial"/>
              </w:rPr>
              <w:t>Summer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522</w:t>
            </w:r>
          </w:p>
        </w:tc>
        <w:tc>
          <w:tcPr>
            <w:tcW w:w="3121" w:type="dxa"/>
            <w:vAlign w:val="bottom"/>
          </w:tcPr>
          <w:p w:rsidR="00BC5884" w:rsidRPr="00672487" w:rsidRDefault="00BC5884" w:rsidP="00BC5884">
            <w:pPr>
              <w:rPr>
                <w:rFonts w:cs="Arial"/>
              </w:rPr>
            </w:pPr>
            <w:r>
              <w:rPr>
                <w:rFonts w:cs="Arial"/>
              </w:rPr>
              <w:t>Evidence Based Research for the Advanced Practice Role</w:t>
            </w:r>
          </w:p>
        </w:tc>
        <w:tc>
          <w:tcPr>
            <w:tcW w:w="2129" w:type="dxa"/>
          </w:tcPr>
          <w:p w:rsidR="00BC5884" w:rsidRDefault="00BC5884" w:rsidP="00BC5884">
            <w:pPr>
              <w:rPr>
                <w:rFonts w:cs="Arial"/>
              </w:rPr>
            </w:pPr>
            <w:r>
              <w:t>Admission to SON Graduate Program and Graduate Level Statistics</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Summer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531</w:t>
            </w:r>
          </w:p>
        </w:tc>
        <w:tc>
          <w:tcPr>
            <w:tcW w:w="3121" w:type="dxa"/>
            <w:vAlign w:val="bottom"/>
          </w:tcPr>
          <w:p w:rsidR="00BC5884" w:rsidRDefault="00BC5884" w:rsidP="00BC5884">
            <w:pPr>
              <w:rPr>
                <w:rFonts w:cs="Arial"/>
              </w:rPr>
            </w:pPr>
          </w:p>
          <w:p w:rsidR="00BC5884" w:rsidRPr="00672487" w:rsidRDefault="00BC5884" w:rsidP="00BC5884">
            <w:pPr>
              <w:rPr>
                <w:rFonts w:cs="Arial"/>
              </w:rPr>
            </w:pPr>
            <w:r>
              <w:rPr>
                <w:rFonts w:cs="Arial"/>
              </w:rPr>
              <w:t xml:space="preserve">Advanced </w:t>
            </w:r>
            <w:proofErr w:type="spellStart"/>
            <w:r>
              <w:rPr>
                <w:rFonts w:cs="Arial"/>
              </w:rPr>
              <w:t>Pathophysiology</w:t>
            </w:r>
            <w:proofErr w:type="spellEnd"/>
          </w:p>
        </w:tc>
        <w:tc>
          <w:tcPr>
            <w:tcW w:w="2129" w:type="dxa"/>
          </w:tcPr>
          <w:p w:rsidR="00BC5884" w:rsidRDefault="00BC5884" w:rsidP="00BC5884">
            <w:pPr>
              <w:rPr>
                <w:rFonts w:cs="Arial"/>
              </w:rPr>
            </w:pPr>
            <w: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Fall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532</w:t>
            </w:r>
          </w:p>
        </w:tc>
        <w:tc>
          <w:tcPr>
            <w:tcW w:w="3121" w:type="dxa"/>
            <w:vAlign w:val="bottom"/>
          </w:tcPr>
          <w:p w:rsidR="00BC5884" w:rsidRPr="00672487" w:rsidRDefault="00BC5884" w:rsidP="00BC5884">
            <w:pPr>
              <w:rPr>
                <w:rFonts w:cs="Arial"/>
              </w:rPr>
            </w:pPr>
            <w:r>
              <w:rPr>
                <w:rFonts w:cs="Arial"/>
              </w:rPr>
              <w:t>Advanced Health Assessment</w:t>
            </w:r>
          </w:p>
        </w:tc>
        <w:tc>
          <w:tcPr>
            <w:tcW w:w="2129" w:type="dxa"/>
          </w:tcPr>
          <w:p w:rsidR="00BC5884" w:rsidRDefault="00BC5884" w:rsidP="00BC5884">
            <w:pPr>
              <w:rPr>
                <w:rFonts w:cs="Arial"/>
              </w:rPr>
            </w:pPr>
            <w:r>
              <w:t>Admission to SON Graduate Program</w:t>
            </w:r>
          </w:p>
        </w:tc>
        <w:tc>
          <w:tcPr>
            <w:tcW w:w="1710" w:type="dxa"/>
          </w:tcPr>
          <w:p w:rsidR="00BC5884" w:rsidRDefault="00726632" w:rsidP="00882116">
            <w:pPr>
              <w:rPr>
                <w:rFonts w:cs="Arial"/>
              </w:rPr>
            </w:pPr>
            <w:r>
              <w:rPr>
                <w:rFonts w:cs="Arial"/>
              </w:rPr>
              <w:t>NUR</w:t>
            </w:r>
            <w:r w:rsidR="00D67A99">
              <w:rPr>
                <w:rFonts w:cs="Arial"/>
              </w:rPr>
              <w:t xml:space="preserve"> </w:t>
            </w:r>
            <w:r w:rsidR="00882116">
              <w:rPr>
                <w:rFonts w:cs="Arial"/>
              </w:rPr>
              <w:t>532 Practicum</w:t>
            </w:r>
          </w:p>
        </w:tc>
        <w:tc>
          <w:tcPr>
            <w:tcW w:w="1458" w:type="dxa"/>
            <w:vAlign w:val="bottom"/>
          </w:tcPr>
          <w:p w:rsidR="00BC5884" w:rsidRPr="00672487" w:rsidRDefault="00BC5884" w:rsidP="00BC5884">
            <w:pPr>
              <w:rPr>
                <w:rFonts w:cs="Arial"/>
              </w:rPr>
            </w:pPr>
            <w:r>
              <w:rPr>
                <w:rFonts w:cs="Arial"/>
              </w:rPr>
              <w:t>Fall 2013</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541</w:t>
            </w:r>
          </w:p>
        </w:tc>
        <w:tc>
          <w:tcPr>
            <w:tcW w:w="3121" w:type="dxa"/>
            <w:vAlign w:val="bottom"/>
          </w:tcPr>
          <w:p w:rsidR="00BC5884" w:rsidRPr="00672487" w:rsidRDefault="00BC5884" w:rsidP="00BC5884">
            <w:pPr>
              <w:rPr>
                <w:rFonts w:cs="Arial"/>
              </w:rPr>
            </w:pPr>
            <w:r>
              <w:rPr>
                <w:rFonts w:cs="Arial"/>
              </w:rPr>
              <w:t>Advanced Pharmacology</w:t>
            </w:r>
          </w:p>
        </w:tc>
        <w:tc>
          <w:tcPr>
            <w:tcW w:w="2129" w:type="dxa"/>
          </w:tcPr>
          <w:p w:rsidR="00BC5884" w:rsidRPr="00726632" w:rsidRDefault="00726632" w:rsidP="00BC5884">
            <w:r>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Spring 2014</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542</w:t>
            </w:r>
          </w:p>
        </w:tc>
        <w:tc>
          <w:tcPr>
            <w:tcW w:w="3121" w:type="dxa"/>
            <w:vAlign w:val="bottom"/>
          </w:tcPr>
          <w:p w:rsidR="00BC5884" w:rsidRPr="00672487" w:rsidRDefault="00BC5884" w:rsidP="00BC5884">
            <w:pPr>
              <w:rPr>
                <w:rFonts w:cs="Arial"/>
              </w:rPr>
            </w:pPr>
            <w:r>
              <w:rPr>
                <w:rFonts w:cs="Arial"/>
              </w:rPr>
              <w:t>Diagnostics and Procedures</w:t>
            </w:r>
          </w:p>
        </w:tc>
        <w:tc>
          <w:tcPr>
            <w:tcW w:w="2129" w:type="dxa"/>
          </w:tcPr>
          <w:p w:rsidR="00BC5884" w:rsidRPr="00726632" w:rsidRDefault="00726632" w:rsidP="00726632">
            <w:pPr>
              <w:rPr>
                <w:rFonts w:cs="Arial"/>
              </w:rPr>
            </w:pPr>
            <w:r w:rsidRPr="00726632">
              <w:t>NUR 501, 502, 511, 521, 522, 531, 532</w:t>
            </w:r>
            <w:r>
              <w:t>, 541*</w:t>
            </w:r>
          </w:p>
        </w:tc>
        <w:tc>
          <w:tcPr>
            <w:tcW w:w="1710" w:type="dxa"/>
          </w:tcPr>
          <w:p w:rsidR="00BC5884" w:rsidRDefault="00726632" w:rsidP="00726632">
            <w:r w:rsidRPr="00726632">
              <w:t>NUR 441</w:t>
            </w:r>
            <w:r>
              <w:t xml:space="preserve"> (if not taken previously)</w:t>
            </w:r>
          </w:p>
          <w:p w:rsidR="00726632" w:rsidRPr="00726632" w:rsidRDefault="00726632" w:rsidP="00882116">
            <w:pPr>
              <w:rPr>
                <w:rFonts w:cs="Arial"/>
              </w:rPr>
            </w:pPr>
            <w:r>
              <w:t>NUR</w:t>
            </w:r>
            <w:r w:rsidR="00D67A99">
              <w:t xml:space="preserve"> </w:t>
            </w:r>
            <w:r>
              <w:t xml:space="preserve">542 </w:t>
            </w:r>
            <w:r w:rsidR="00882116">
              <w:t>Practicum</w:t>
            </w:r>
          </w:p>
        </w:tc>
        <w:tc>
          <w:tcPr>
            <w:tcW w:w="1458" w:type="dxa"/>
            <w:vAlign w:val="bottom"/>
          </w:tcPr>
          <w:p w:rsidR="00BC5884" w:rsidRPr="00672487" w:rsidRDefault="00BC5884" w:rsidP="00BC5884">
            <w:pPr>
              <w:rPr>
                <w:rFonts w:cs="Arial"/>
              </w:rPr>
            </w:pPr>
            <w:r>
              <w:rPr>
                <w:rFonts w:cs="Arial"/>
              </w:rPr>
              <w:t>Spring 2014</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551</w:t>
            </w:r>
          </w:p>
        </w:tc>
        <w:tc>
          <w:tcPr>
            <w:tcW w:w="3121" w:type="dxa"/>
            <w:vAlign w:val="bottom"/>
          </w:tcPr>
          <w:p w:rsidR="00BC5884" w:rsidRPr="00672487" w:rsidRDefault="00BC5884" w:rsidP="00BC5884">
            <w:pPr>
              <w:rPr>
                <w:rFonts w:cs="Arial"/>
              </w:rPr>
            </w:pPr>
            <w:r>
              <w:rPr>
                <w:rFonts w:cs="Arial"/>
              </w:rPr>
              <w:t>Primary Care I</w:t>
            </w:r>
          </w:p>
        </w:tc>
        <w:tc>
          <w:tcPr>
            <w:tcW w:w="2129" w:type="dxa"/>
          </w:tcPr>
          <w:p w:rsidR="00D67A99" w:rsidRDefault="00D67A99" w:rsidP="00D67A99">
            <w:r w:rsidRPr="007D3F24">
              <w:t>NUR</w:t>
            </w:r>
            <w:r>
              <w:t xml:space="preserve"> 542</w:t>
            </w:r>
          </w:p>
          <w:p w:rsidR="00BC5884" w:rsidRDefault="00D67A99" w:rsidP="00D67A99">
            <w:pPr>
              <w:rPr>
                <w:rFonts w:cs="Arial"/>
              </w:rPr>
            </w:pPr>
            <w:r>
              <w:t xml:space="preserve">     </w:t>
            </w:r>
          </w:p>
        </w:tc>
        <w:tc>
          <w:tcPr>
            <w:tcW w:w="1710" w:type="dxa"/>
          </w:tcPr>
          <w:p w:rsidR="00BC5884" w:rsidRDefault="00D67A99" w:rsidP="00BC5884">
            <w:pPr>
              <w:rPr>
                <w:rFonts w:cs="Arial"/>
              </w:rPr>
            </w:pPr>
            <w:r>
              <w:rPr>
                <w:rFonts w:cs="Arial"/>
              </w:rPr>
              <w:t xml:space="preserve">NUR 551 </w:t>
            </w:r>
            <w:r w:rsidR="00882116">
              <w:rPr>
                <w:rFonts w:cs="Arial"/>
              </w:rPr>
              <w:t>Practicum</w:t>
            </w:r>
          </w:p>
        </w:tc>
        <w:tc>
          <w:tcPr>
            <w:tcW w:w="1458" w:type="dxa"/>
            <w:vAlign w:val="bottom"/>
          </w:tcPr>
          <w:p w:rsidR="00BC5884" w:rsidRPr="00672487" w:rsidRDefault="00BC5884" w:rsidP="00BC5884">
            <w:pPr>
              <w:rPr>
                <w:rFonts w:cs="Arial"/>
              </w:rPr>
            </w:pPr>
            <w:r>
              <w:rPr>
                <w:rFonts w:cs="Arial"/>
              </w:rPr>
              <w:t>Summer 2014</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561</w:t>
            </w:r>
          </w:p>
        </w:tc>
        <w:tc>
          <w:tcPr>
            <w:tcW w:w="3121" w:type="dxa"/>
            <w:vAlign w:val="bottom"/>
          </w:tcPr>
          <w:p w:rsidR="00BC5884" w:rsidRDefault="00BC5884" w:rsidP="00BC5884">
            <w:pPr>
              <w:rPr>
                <w:rFonts w:cs="Arial"/>
              </w:rPr>
            </w:pPr>
          </w:p>
          <w:p w:rsidR="00BC5884" w:rsidRPr="00672487" w:rsidRDefault="00BC5884" w:rsidP="00BC5884">
            <w:pPr>
              <w:rPr>
                <w:rFonts w:cs="Arial"/>
              </w:rPr>
            </w:pPr>
            <w:r>
              <w:rPr>
                <w:rFonts w:cs="Arial"/>
              </w:rPr>
              <w:t>Primary Care II</w:t>
            </w:r>
          </w:p>
        </w:tc>
        <w:tc>
          <w:tcPr>
            <w:tcW w:w="2129" w:type="dxa"/>
          </w:tcPr>
          <w:p w:rsidR="00BC5884" w:rsidRDefault="00D67A99" w:rsidP="00BC5884">
            <w:pPr>
              <w:rPr>
                <w:rFonts w:cs="Arial"/>
              </w:rPr>
            </w:pPr>
            <w:r>
              <w:rPr>
                <w:rFonts w:cs="Arial"/>
              </w:rPr>
              <w:t>NUR 551</w:t>
            </w:r>
          </w:p>
        </w:tc>
        <w:tc>
          <w:tcPr>
            <w:tcW w:w="1710" w:type="dxa"/>
          </w:tcPr>
          <w:p w:rsidR="00BC5884" w:rsidRDefault="00D67A99" w:rsidP="00BC5884">
            <w:pPr>
              <w:rPr>
                <w:rFonts w:cs="Arial"/>
              </w:rPr>
            </w:pPr>
            <w:r>
              <w:rPr>
                <w:rFonts w:cs="Arial"/>
              </w:rPr>
              <w:t xml:space="preserve">NUR 561 </w:t>
            </w:r>
            <w:r w:rsidR="00882116">
              <w:rPr>
                <w:rFonts w:cs="Arial"/>
              </w:rPr>
              <w:t>Practicum</w:t>
            </w:r>
          </w:p>
        </w:tc>
        <w:tc>
          <w:tcPr>
            <w:tcW w:w="1458" w:type="dxa"/>
            <w:vAlign w:val="bottom"/>
          </w:tcPr>
          <w:p w:rsidR="00BC5884" w:rsidRPr="00672487" w:rsidRDefault="00BC5884" w:rsidP="00BC5884">
            <w:pPr>
              <w:rPr>
                <w:rFonts w:cs="Arial"/>
              </w:rPr>
            </w:pPr>
            <w:r>
              <w:rPr>
                <w:rFonts w:cs="Arial"/>
              </w:rPr>
              <w:t>Fall 2014</w:t>
            </w:r>
          </w:p>
        </w:tc>
      </w:tr>
      <w:tr w:rsidR="00BC5884" w:rsidRPr="00672487" w:rsidTr="00726632">
        <w:trPr>
          <w:trHeight w:val="275"/>
        </w:trPr>
        <w:tc>
          <w:tcPr>
            <w:tcW w:w="1158" w:type="dxa"/>
            <w:vAlign w:val="bottom"/>
          </w:tcPr>
          <w:p w:rsidR="00BC5884" w:rsidRPr="00672487" w:rsidRDefault="00BC5884" w:rsidP="00BC5884">
            <w:pPr>
              <w:rPr>
                <w:rFonts w:cs="Arial"/>
              </w:rPr>
            </w:pPr>
            <w:r>
              <w:rPr>
                <w:rFonts w:cs="Arial"/>
              </w:rPr>
              <w:t>NUR 564</w:t>
            </w:r>
          </w:p>
        </w:tc>
        <w:tc>
          <w:tcPr>
            <w:tcW w:w="3121" w:type="dxa"/>
            <w:vAlign w:val="bottom"/>
          </w:tcPr>
          <w:p w:rsidR="00BC5884" w:rsidRPr="00672487" w:rsidRDefault="00BC5884" w:rsidP="00BC5884">
            <w:pPr>
              <w:rPr>
                <w:rFonts w:cs="Arial"/>
              </w:rPr>
            </w:pPr>
            <w:r>
              <w:rPr>
                <w:rFonts w:cs="Arial"/>
              </w:rPr>
              <w:t>Spanish for Advanced Health Care Professionals   (elective)</w:t>
            </w:r>
          </w:p>
        </w:tc>
        <w:tc>
          <w:tcPr>
            <w:tcW w:w="2129" w:type="dxa"/>
          </w:tcPr>
          <w:p w:rsidR="00D67A99" w:rsidRPr="00493964" w:rsidRDefault="00D67A99" w:rsidP="00D67A99">
            <w:r>
              <w:t>NUR 532</w:t>
            </w:r>
          </w:p>
          <w:p w:rsidR="00BC5884" w:rsidRDefault="00BC5884" w:rsidP="00BC5884">
            <w:pPr>
              <w:rPr>
                <w:rFonts w:cs="Arial"/>
              </w:rPr>
            </w:pP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Fall 2014</w:t>
            </w:r>
          </w:p>
        </w:tc>
      </w:tr>
      <w:tr w:rsidR="00BC5884" w:rsidRPr="00672487" w:rsidTr="00726632">
        <w:trPr>
          <w:trHeight w:val="290"/>
        </w:trPr>
        <w:tc>
          <w:tcPr>
            <w:tcW w:w="1158" w:type="dxa"/>
            <w:vAlign w:val="bottom"/>
          </w:tcPr>
          <w:p w:rsidR="00BC5884" w:rsidRPr="00672487" w:rsidRDefault="00BC5884" w:rsidP="00BC5884">
            <w:pPr>
              <w:rPr>
                <w:rFonts w:cs="Arial"/>
              </w:rPr>
            </w:pPr>
            <w:r>
              <w:rPr>
                <w:rFonts w:cs="Arial"/>
              </w:rPr>
              <w:t>NUR 565</w:t>
            </w:r>
          </w:p>
        </w:tc>
        <w:tc>
          <w:tcPr>
            <w:tcW w:w="3121" w:type="dxa"/>
            <w:vAlign w:val="bottom"/>
          </w:tcPr>
          <w:p w:rsidR="00BC5884" w:rsidRPr="00672487" w:rsidRDefault="00BC5884" w:rsidP="00BC5884">
            <w:pPr>
              <w:rPr>
                <w:rFonts w:cs="Arial"/>
              </w:rPr>
            </w:pPr>
            <w:r>
              <w:rPr>
                <w:rFonts w:cs="Arial"/>
              </w:rPr>
              <w:t>Global Health Care   (elective)</w:t>
            </w:r>
          </w:p>
        </w:tc>
        <w:tc>
          <w:tcPr>
            <w:tcW w:w="2129" w:type="dxa"/>
          </w:tcPr>
          <w:p w:rsidR="00BC5884" w:rsidRPr="007B7FE9" w:rsidRDefault="007B7FE9" w:rsidP="00BC5884">
            <w:r w:rsidRPr="00493964">
              <w:t>Admission to SON Graduate Program</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Fall 2014</w:t>
            </w:r>
          </w:p>
        </w:tc>
      </w:tr>
      <w:tr w:rsidR="00BC5884" w:rsidRPr="00672487" w:rsidTr="00726632">
        <w:trPr>
          <w:trHeight w:val="290"/>
        </w:trPr>
        <w:tc>
          <w:tcPr>
            <w:tcW w:w="1158" w:type="dxa"/>
            <w:vAlign w:val="bottom"/>
          </w:tcPr>
          <w:p w:rsidR="00BC5884" w:rsidRPr="00672487" w:rsidRDefault="00BC5884" w:rsidP="00BC5884">
            <w:pPr>
              <w:rPr>
                <w:rFonts w:cs="Arial"/>
              </w:rPr>
            </w:pPr>
            <w:r>
              <w:rPr>
                <w:rFonts w:cs="Arial"/>
              </w:rPr>
              <w:t>NUR 570</w:t>
            </w:r>
          </w:p>
        </w:tc>
        <w:tc>
          <w:tcPr>
            <w:tcW w:w="3121" w:type="dxa"/>
            <w:vAlign w:val="bottom"/>
          </w:tcPr>
          <w:p w:rsidR="00BC5884" w:rsidRPr="00672487" w:rsidRDefault="00BC5884" w:rsidP="00BC5884">
            <w:pPr>
              <w:rPr>
                <w:rFonts w:cs="Arial"/>
              </w:rPr>
            </w:pPr>
            <w:r>
              <w:rPr>
                <w:rFonts w:cs="Arial"/>
              </w:rPr>
              <w:t>Practicum</w:t>
            </w:r>
          </w:p>
        </w:tc>
        <w:tc>
          <w:tcPr>
            <w:tcW w:w="2129" w:type="dxa"/>
          </w:tcPr>
          <w:p w:rsidR="00BC5884" w:rsidRPr="007B7FE9" w:rsidRDefault="007B7FE9" w:rsidP="00BC5884">
            <w:r w:rsidRPr="007257C9">
              <w:t>NUR 561</w:t>
            </w:r>
          </w:p>
        </w:tc>
        <w:tc>
          <w:tcPr>
            <w:tcW w:w="1710" w:type="dxa"/>
          </w:tcPr>
          <w:p w:rsidR="00BC5884" w:rsidRDefault="00BC5884" w:rsidP="00BC5884">
            <w:pPr>
              <w:rPr>
                <w:rFonts w:cs="Arial"/>
              </w:rPr>
            </w:pPr>
          </w:p>
        </w:tc>
        <w:tc>
          <w:tcPr>
            <w:tcW w:w="1458" w:type="dxa"/>
            <w:vAlign w:val="bottom"/>
          </w:tcPr>
          <w:p w:rsidR="00BC5884" w:rsidRPr="00672487" w:rsidRDefault="00BC5884" w:rsidP="00BC5884">
            <w:pPr>
              <w:rPr>
                <w:rFonts w:cs="Arial"/>
              </w:rPr>
            </w:pPr>
            <w:r>
              <w:rPr>
                <w:rFonts w:cs="Arial"/>
              </w:rPr>
              <w:t>Spring 2015</w:t>
            </w:r>
          </w:p>
        </w:tc>
      </w:tr>
    </w:tbl>
    <w:p w:rsidR="00BC5884" w:rsidRDefault="00BC5884"/>
    <w:p w:rsidR="00BC5884" w:rsidRDefault="00BC5884"/>
    <w:sectPr w:rsidR="00BC5884" w:rsidSect="001D03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7B6"/>
    <w:multiLevelType w:val="hybridMultilevel"/>
    <w:tmpl w:val="9122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93163"/>
    <w:multiLevelType w:val="hybridMultilevel"/>
    <w:tmpl w:val="B804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884"/>
    <w:rsid w:val="000D4367"/>
    <w:rsid w:val="00152AC9"/>
    <w:rsid w:val="001D030E"/>
    <w:rsid w:val="002B7561"/>
    <w:rsid w:val="00347F5B"/>
    <w:rsid w:val="003D7179"/>
    <w:rsid w:val="00594BB8"/>
    <w:rsid w:val="00637872"/>
    <w:rsid w:val="00726632"/>
    <w:rsid w:val="007B7FE9"/>
    <w:rsid w:val="00822D62"/>
    <w:rsid w:val="00882116"/>
    <w:rsid w:val="00A53C4B"/>
    <w:rsid w:val="00A6610D"/>
    <w:rsid w:val="00AA3CAF"/>
    <w:rsid w:val="00B9177A"/>
    <w:rsid w:val="00BC5884"/>
    <w:rsid w:val="00C25C23"/>
    <w:rsid w:val="00C4217D"/>
    <w:rsid w:val="00C80721"/>
    <w:rsid w:val="00C846B6"/>
    <w:rsid w:val="00D67A99"/>
    <w:rsid w:val="00D96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5B"/>
    <w:pPr>
      <w:ind w:left="720"/>
      <w:contextualSpacing/>
    </w:pPr>
  </w:style>
  <w:style w:type="character" w:styleId="Hyperlink">
    <w:name w:val="Hyperlink"/>
    <w:basedOn w:val="DefaultParagraphFont"/>
    <w:uiPriority w:val="99"/>
    <w:unhideWhenUsed/>
    <w:rsid w:val="00347F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3145685">
      <w:bodyDiv w:val="1"/>
      <w:marLeft w:val="0"/>
      <w:marRight w:val="0"/>
      <w:marTop w:val="0"/>
      <w:marBottom w:val="0"/>
      <w:divBdr>
        <w:top w:val="none" w:sz="0" w:space="0" w:color="auto"/>
        <w:left w:val="none" w:sz="0" w:space="0" w:color="auto"/>
        <w:bottom w:val="none" w:sz="0" w:space="0" w:color="auto"/>
        <w:right w:val="none" w:sz="0" w:space="0" w:color="auto"/>
      </w:divBdr>
      <w:divsChild>
        <w:div w:id="447969478">
          <w:marLeft w:val="0"/>
          <w:marRight w:val="0"/>
          <w:marTop w:val="0"/>
          <w:marBottom w:val="0"/>
          <w:divBdr>
            <w:top w:val="none" w:sz="0" w:space="0" w:color="auto"/>
            <w:left w:val="none" w:sz="0" w:space="0" w:color="auto"/>
            <w:bottom w:val="none" w:sz="0" w:space="0" w:color="auto"/>
            <w:right w:val="none" w:sz="0" w:space="0" w:color="auto"/>
          </w:divBdr>
          <w:divsChild>
            <w:div w:id="1540898267">
              <w:marLeft w:val="0"/>
              <w:marRight w:val="0"/>
              <w:marTop w:val="0"/>
              <w:marBottom w:val="0"/>
              <w:divBdr>
                <w:top w:val="none" w:sz="0" w:space="0" w:color="auto"/>
                <w:left w:val="none" w:sz="0" w:space="0" w:color="auto"/>
                <w:bottom w:val="none" w:sz="0" w:space="0" w:color="auto"/>
                <w:right w:val="none" w:sz="0" w:space="0" w:color="auto"/>
              </w:divBdr>
              <w:divsChild>
                <w:div w:id="1313220543">
                  <w:marLeft w:val="0"/>
                  <w:marRight w:val="0"/>
                  <w:marTop w:val="0"/>
                  <w:marBottom w:val="0"/>
                  <w:divBdr>
                    <w:top w:val="none" w:sz="0" w:space="0" w:color="auto"/>
                    <w:left w:val="none" w:sz="0" w:space="0" w:color="auto"/>
                    <w:bottom w:val="none" w:sz="0" w:space="0" w:color="auto"/>
                    <w:right w:val="none" w:sz="0" w:space="0" w:color="auto"/>
                  </w:divBdr>
                  <w:divsChild>
                    <w:div w:id="744108378">
                      <w:marLeft w:val="0"/>
                      <w:marRight w:val="0"/>
                      <w:marTop w:val="0"/>
                      <w:marBottom w:val="0"/>
                      <w:divBdr>
                        <w:top w:val="none" w:sz="0" w:space="0" w:color="auto"/>
                        <w:left w:val="none" w:sz="0" w:space="0" w:color="auto"/>
                        <w:bottom w:val="none" w:sz="0" w:space="0" w:color="auto"/>
                        <w:right w:val="none" w:sz="0" w:space="0" w:color="auto"/>
                      </w:divBdr>
                      <w:divsChild>
                        <w:div w:id="411512596">
                          <w:marLeft w:val="0"/>
                          <w:marRight w:val="0"/>
                          <w:marTop w:val="0"/>
                          <w:marBottom w:val="0"/>
                          <w:divBdr>
                            <w:top w:val="none" w:sz="0" w:space="0" w:color="auto"/>
                            <w:left w:val="none" w:sz="0" w:space="0" w:color="auto"/>
                            <w:bottom w:val="none" w:sz="0" w:space="0" w:color="auto"/>
                            <w:right w:val="none" w:sz="0" w:space="0" w:color="auto"/>
                          </w:divBdr>
                          <w:divsChild>
                            <w:div w:id="1213464737">
                              <w:marLeft w:val="0"/>
                              <w:marRight w:val="0"/>
                              <w:marTop w:val="0"/>
                              <w:marBottom w:val="0"/>
                              <w:divBdr>
                                <w:top w:val="none" w:sz="0" w:space="0" w:color="auto"/>
                                <w:left w:val="none" w:sz="0" w:space="0" w:color="auto"/>
                                <w:bottom w:val="none" w:sz="0" w:space="0" w:color="auto"/>
                                <w:right w:val="none" w:sz="0" w:space="0" w:color="auto"/>
                              </w:divBdr>
                              <w:divsChild>
                                <w:div w:id="843009505">
                                  <w:marLeft w:val="0"/>
                                  <w:marRight w:val="0"/>
                                  <w:marTop w:val="0"/>
                                  <w:marBottom w:val="0"/>
                                  <w:divBdr>
                                    <w:top w:val="none" w:sz="0" w:space="0" w:color="auto"/>
                                    <w:left w:val="none" w:sz="0" w:space="0" w:color="auto"/>
                                    <w:bottom w:val="none" w:sz="0" w:space="0" w:color="auto"/>
                                    <w:right w:val="none" w:sz="0" w:space="0" w:color="auto"/>
                                  </w:divBdr>
                                  <w:divsChild>
                                    <w:div w:id="71976663">
                                      <w:marLeft w:val="0"/>
                                      <w:marRight w:val="0"/>
                                      <w:marTop w:val="0"/>
                                      <w:marBottom w:val="0"/>
                                      <w:divBdr>
                                        <w:top w:val="none" w:sz="0" w:space="0" w:color="auto"/>
                                        <w:left w:val="none" w:sz="0" w:space="0" w:color="auto"/>
                                        <w:bottom w:val="none" w:sz="0" w:space="0" w:color="auto"/>
                                        <w:right w:val="none" w:sz="0" w:space="0" w:color="auto"/>
                                      </w:divBdr>
                                      <w:divsChild>
                                        <w:div w:id="19699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u.qualtrics.com/SE/?SID=SV_787iYWk83jT9k4k" TargetMode="External"/><Relationship Id="rId5" Type="http://schemas.openxmlformats.org/officeDocument/2006/relationships/hyperlink" Target="http://cosm.sfasu.edu/index.aspx?URL=Nur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Stephen F. Austin State University</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Klein</dc:creator>
  <cp:keywords/>
  <dc:description/>
  <cp:lastModifiedBy>Windows User</cp:lastModifiedBy>
  <cp:revision>10</cp:revision>
  <cp:lastPrinted>2011-10-25T16:17:00Z</cp:lastPrinted>
  <dcterms:created xsi:type="dcterms:W3CDTF">2011-10-25T15:48:00Z</dcterms:created>
  <dcterms:modified xsi:type="dcterms:W3CDTF">2011-10-25T16:29:00Z</dcterms:modified>
</cp:coreProperties>
</file>